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347</w:t>
      </w:r>
    </w:p>
    <w:p>
      <w:r>
        <w:t>Bundesgericht (BGE), 2020-03-24, DE</w:t>
      </w:r>
    </w:p>
    <w:p>
      <w:r>
        <w:rPr>
          <w:b/>
        </w:rPr>
        <w:t xml:space="preserve">Quelle: </w:t>
      </w:r>
      <w:r>
        <w:t>https://mcp.opencaselaw.ch/entscheid/bge_146 II 347</w:t>
      </w:r>
    </w:p>
    <w:p>
      <w:r>
        <w:t>FR: ATF 146 II 347</w:t>
      </w:r>
    </w:p>
    <w:p>
      <w:r>
        <w:t>IT: DTF 146 II 347</w:t>
      </w:r>
    </w:p>
    <w:p>
      <w:pPr>
        <w:pStyle w:val="Heading2"/>
      </w:pPr>
      <w:r>
        <w:t>Regeste</w:t>
      </w:r>
    </w:p>
    <w:p>
      <w:r>
        <w:t>Regeste Art. 18, 18a NHG, Art. 3, 4, 5 Auenverordnung, Art. 17 RPG, Art. 18, 19, 21 EBG, Art. 2, 5, 7 JSG, Art. 4 FWG; Schutz eines Auengebiets von nationaler Bedeutung. Schutz der Biotop-Inventargebiete von nationaler Bedeutung durch die vom Bundesrat erlassenen Verordnungen wie die Auenverordnung (E. 3.1). Pflicht der Kantone, den Schutz und Unterhalt der in das Bundesinventar der Auengebiete von nationaler Bedeutung aufgenommenen Objekte zu ordnen (E. 3.2). Begriff der Aue (E. 3.3). Festlegung des genauen Grenzverlaufs des Auenobjekts in Konkretisierung des im Bundesinventar vorgegebenen Perimeters (E. 5.1). Grundsätze für die Detailabgrenzung, wenn der Bundesperimeter des Auengebiets entlang einer Eisenbahnlinie verläuft (E. 5.2, 5.3, 6.1). Schutzbestimmungen zur auentypischen Vogelart Flussuferläufer (E. 3.4 und 7.1). Fehlen eines Interesses von nationaler Bedeutung zur Rechtfertigung eines neuen Wanderwegs im Auengebiet von nationaler Bedeutung (E. 7.2). Unzulässigkeit einer Schmälerung der Bestandeserhaltung der Flussuferläufer im Auengebiet mit einem neuen Weg in der näheren Umgebung (E. 7.3).</w:t>
      </w:r>
    </w:p>
    <w:p>
      <w:pPr>
        <w:pStyle w:val="Heading2"/>
      </w:pPr>
      <w:r>
        <w:t>Erwägungen</w:t>
      </w:r>
    </w:p>
    <w:p>
      <w:r>
        <w:rPr>
          <w:b/>
        </w:rPr>
        <w:t>E. 3</w:t>
      </w:r>
    </w:p>
    <w:p>
      <w:r>
        <w:t>Der umstrittene Wanderweg kommt nicht nur in ein BLN-Gebiet zu liegen, sondern berührt auch ein Auengebiet von nationaler Bedeutung. Darzulegen sind daher zunächst die gesetzlichen Grundlagen für ein solches Biotop.</w:t>
      </w:r>
    </w:p>
    <w:p>
      <w:r>
        <w:rPr>
          <w:b/>
        </w:rPr>
        <w:t>E. 3.1</w:t>
      </w:r>
    </w:p>
    <w:p>
      <w:r>
        <w:t>Nach Art. 18 Abs. 1 des Bundesgesetzes vom 1. Juli 1966 über den Natur- und Heimatschutz (NHG; SR 451) ist dem Aussterben einheimischer Tier- und Pflanzenarten durch Erhaltung genügend grosser Lebensräume (Biotope) und andere geeignete Massnahmen entgegenzuwirken.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 bis ).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(Abs. 1 ter ). Art. 18a Abs. 1 NHG sieht vor, dass der Bundesrat die Biotope von nationaler Bedeutung bezeichnet, die Lage dieser Biotope bestimmt und die Schutzziele festlegt. Der Schutz von Biotop-Inventargebieten von nationaler Bedeutung im Sinne von Art. 18a NHG ergibt sich aus den vom Bundesrat erlassenen speziellen Verordnungen. Diese sind überwiegend der Regelung von Art. 6 NHG (Grundsatz der ungeschmälerten Erhaltung) nachgebildet (vgl. Urteil 1C_528/ 2018 und 1C_530/2018 vom 17. Oktober 2019 E. 4.2). Demnach setzen Abweichungen vom Schutzziel, insbesondere technische Eingriffe, neben der unmittelbaren Standortgebundenheit des Vorhabens ein überwiegendes Interesse von "nationaler Bedeutung" voraus (vgl. Art. 4 Abs. 2 AuenV). BGE 146 II 347 S. 351 Zusätzlich präzisiert Art. 4 Abs. 1 AuenV, dass die Erhaltung und Förderung der auentypischen einheimischen Pflanzen- und Tierwelt und ihrer ökologischen Voraussetzungen zum Schutzziel gehört (lit. a). Zum Schutzziel gehören ebenso die Erhaltung und, soweit sinnvoll und machbar, die Wiederherstellung der natürlichen Dynamik des Gewässer- und Geschiebehaushalts (lit. b) wie die Erhaltung der geomorphologischen Eigenart (lit. c). Im Übrigen werden nach Art. 14 Abs. 3 lit. d der Verordnung vom 16. Januar 1991 über den Natur- und Heimatschutz (NHV; SR 451.1) insbesondere Lebensräume als schutzwürdig bezeichnet, in denen gefährdete und seltene Pflanzen- und Tierarten vorkommen, die in den vom Bundesamt für Umwelt (BAFU) erlassenen oder anerkannten Roten Listen aufgeführt sind.</w:t>
      </w:r>
    </w:p>
    <w:p>
      <w:r>
        <w:rPr>
          <w:b/>
        </w:rPr>
        <w:t>E. 3.2</w:t>
      </w:r>
    </w:p>
    <w:p>
      <w:r>
        <w:t>Um das Ziel der ungeschmälerten Erhaltung bzw. grösstmöglichen Schonung gemäss Art. 6 Abs. 1 NHG zu erreichen, beauftragt Art. 18a Abs. 2 NHG die Kantone, den Schutz und den Unterhalt der Biotope von nationaler Bedeutung zu ordnen (vgl. Urteil 1A.219/ 2004 vom 21. September 2005 E. 3.3). Art. 3 Abs. 1 AuenV verpflichtet die Kantone bzw. Gemeinden, den genauen Grenzverlauf der Objekte festzulegen und ökologisch ausreichende Pufferzonen auszuscheiden. Art. 5 AuenV setzt einen Rahmen für die Schutz- und Unterhaltsmassnahmen, welche die Kantone zu treffen haben (vgl. Urteil 1A.219/2004 vom 21. September 2005 E. 3.3). Art. 17 RPG (SR 700) ermöglicht es den Kantonen bzw. Gemeinden, Schutzzonen festzulegen, die u.a. Bäche, Flüsse, Seen und ihre Ufer sowie Lebensräume für schutzwürdige Pflanzen und Tiere umfassen (Abs. 1 lit. a und d). Statt Schutzzonen festzulegen, kann das kantonale Recht andere geeignete Massnahmen vorsehen ( Art. 17 Abs. 2 RPG ). Die Nutzungsplanung stellt ein geeignetes Instrument dar, um die Detailabgrenzung der Schutzobjekte der Inventare festzulegen (vgl. Bundesamt für Umwelt, Wald und Landschaft [BUWAL, heute: BAFU], Vollzugshilfe zur Auenverordnung, 1995, Kap. 6.1 S. 40; JEANNERAT/MOOR, in: Praxiskommentar RPG: Nutzungsplanung, 2016, N. 66 zu Art. 17 RPG ; BEATRICE WAGNER PFEIFER, Umweltrecht - Besondere Regelungsbereiche, 2013, Rz. 1079; NINA DAJCAR, Natur- und Heimatschutzinventare des Bundes, 2011, S. 176 f.; KARIN SIDI-ALI, La protection des biotopes en droit suisse, 2008, S. 143, 204 f.; vgl. auch ARNOLD MARTI, in: Kommentar NHG, Peter M. Keller und andere [Hrsg.], 2. Aufl. 2019, Allgemeiner Teil - 2. Kapitel, N. 62 S. 101 f.). BGE 146 II 347 S. 352</w:t>
      </w:r>
    </w:p>
    <w:p>
      <w:r>
        <w:rPr>
          <w:b/>
        </w:rPr>
        <w:t>E. 3.3</w:t>
      </w:r>
    </w:p>
    <w:p>
      <w:r>
        <w:t>Der Begriff der Aue wird weder in der nicht abschliessenden Aufzählung von Art. 18 Abs. 1 bis NHG erwähnt noch in der Auenverordnung definiert (vgl. KARL LUDWIG FAHRLÄNDER, in: Kommentar NHG, Peter M. Keller und andere [Hrsg.], 2. Aufl. 2019, N. 18 zu Art. 18 NHG ; WAGNER PFEIFER, a.a.O., Rz. 1094). Auen sind dynamische Lebensräume, in denen Überschwemmung, Erosion, Ablagerung, Neubesiedlung und Alterung eine grosse Rolle spielen. Die volle Ausprägung und Stabilität erhält dieses Ökosystem sozusagen durch die Instabilität seiner Teile (Vollzugshilfe zur Auenverordnung, a.a.O., Vorwort, S. 5). Den Auen kommt grosse Bedeutung für die Erhaltung der Biodiversität zu (vgl. Urteil 1C_526/2015 und 1C_528/2015 vom 12. Oktober 2016 E. 6.6, nicht publ. in: BGE 142 II 517 , aber in: URP 2017 S. 13).</w:t>
      </w:r>
    </w:p>
    <w:p>
      <w:r>
        <w:rPr>
          <w:b/>
        </w:rPr>
        <w:t>E. 3.4</w:t>
      </w:r>
    </w:p>
    <w:p>
      <w:r>
        <w:t>Der Flussuferläufer (Chevalier guignette, Piro piro piccolo) ist ein kleiner Watvogel. Er brütet typischerweise in Auengebieten der grossen Flusstäler von Alpen und Voralpen, wo der Verlauf des Flusses noch natürlich ist. Auch wenn es sich um eine Zugvogelart handelt, gibt es in der Schweiz einen kleinen, verletzlichen und auf wenige Standorte limitierten Brutbestand (vgl. BAFU, Aktionsplan Flussuferläufer Schweiz, 2010, Umwelt-Vollzug Nr. 1028, Kap. 1 S. 10 und Anhang A1 S. 41 ff.). Die Flussuferläufer stellen hohe Anforderungen an die räumliche Ausdehnung und die Qualität ihrer Lebensräume. Ausgedehnte Auenlandschaften in den Alpen und Voralpen zählen zu den wichtigsten Rückzugsgebieten in Mitteleuropa. Da Freizeitaktivitäten aller Art stark zugenommen haben, werden die Flussuferläufer vielerorts bei ihrem Brutgeschäft beeinträchtigt (vgl. Aktionsplan Flussuferläufer Schweiz, a.a.O., Kap. 2.2.5 S. 17). Die Vogelart ist gemäss Art. 7 Abs. 1 i.V.m. Art. 2 lit. a und Art. 5 Abs. 1 des Bundesgesetzes vom 20. Juni 1986 über die Jagd und den Schutz wildlebender Säugetiere und Vögel (JSG; SR 922.0) geschützt. Sie ist zudem auf der Roten Liste des BAFU im Sinne von Art. 14 Abs. 3 NHV aufgeführt, und zwar mit der Einstufung "stark gefährdet" (vgl. BAFU, Rote Liste Brutvögel, 2010, Umwelt-Vollzug Nr. 1019, Kap. 3.4 S. 18). Das Übereinkommen vom 19. September 1979 über die Erhaltung der europäischen wildlebenden Pflanzen und Tiere und ihrer natürlichen Lebensräume (SR 0.455; nachfolgend: Berner Konvention) zählt in Anhang II den Flussuferläufer zu den streng geschützten Tierarten (vgl. Aktionsplan Flussuferläufer Schweiz, a.a.O., Kap. 4.1 S. 21). Der BGE 146 II 347 S. 353 Konkretisierung der Berner Konvention dient insbesondere ein Netz von Schutzgebieten (sog. Smaragd-Netzwerk). In der Schweiz erfolgt die Umsetzung bei den Smaragd-Gebieten über die Bundesinventare (vgl. EPINEY/KERN, in: Kommentar NHG, Peter M. Keller und andere [Hrsg.], 2. Aufl. 2019, Allgemeiner Teil - 3. Kapitel, N. 46 ff.S. 148 f.). So hat die Schweiz u.a. das Smaragd-Gebiet CH09 Ruin'Aulta bezeichnet; dieses umfasst u.a. eine Auenzone in der Rheinschlucht und beherbergt zahlreiche Vögel, wie Limikolen (Watvögel) im Auenbereich (vgl. Kartenausschnitt und Steckbrief vom 30. November 2012; www.bafu.admin.ch unter Themen/Biodiversität/Fachinformationen/Massnahmen zur Erhaltung und Förderung der Biodiversität/Ökologische Infrastruktur/Smaragd-Gebiete [besucht am 9. März 2020]).</w:t>
      </w:r>
    </w:p>
    <w:p>
      <w:r>
        <w:rPr>
          <w:b/>
        </w:rPr>
        <w:t>E. 3.5</w:t>
      </w:r>
    </w:p>
    <w:p>
      <w:r>
        <w:t>Im Rahmen der Nutzungsplanung sind die in Betracht fallenden öffentlichen und privaten Interessen zu ermitteln, zu beurteilen und im Hinblick auf die anzustrebende räumliche Entwicklung und im Licht der Ziele und Grundsätze der Raumplanung gegeneinander abzuwägen (vgl. Art. 1 und 3 RPG , Art. 3 RPV [SR 700.1]). Soweit das Verfassungs- und Gesetzesrecht, wie zum Natur- und Heimatschutz, einzelne Aspekte der Interessenabwägung konkret regelt, ist vorweg zu klären, ob die planerischen Festsetzungen mit diesen Vorschriften zu vereinbaren sind. Erst wenn dies zutrifft, ist die Abwägung aller zu berücksichtigenden Interessen koordiniert durchzuführen (vgl. BGE 134 II 97 E. 3.1 S. 100; BGE 129 II 63 E. 3.1 S. 68). Das Bundesgericht überprüft die Interessenabwägung als Rechtsfrage grundsätzlich frei (vgl. BGE 145 II 70 E. 3.2 S. 75). (...)</w:t>
      </w:r>
    </w:p>
    <w:p>
      <w:r>
        <w:rPr>
          <w:b/>
        </w:rPr>
        <w:t>E. 5.1</w:t>
      </w:r>
    </w:p>
    <w:p>
      <w:r>
        <w:t>Die Kantone haben gemäss Art. 3 Abs. 1 AuenV den genauen Grenzverlauf der Objekte nach Anhören der Grundeigentümer und Bewirtschafter festzulegen. Zudem haben die Kantone nach Art. 5 Abs. 2 lit. a AuenV dafür zu sorgen, dass Pläne und Vorschriften, welche die zulässige Nutzung des Bodens im Sinne der Raumplanungsgesetzgebung regeln, mit dieser Verordnung übereinstimmen. Art. 5 Abs. 2 lit. a AuenV konkretisiert für den Bereich der Raumplanung die Pflicht der Kantone gemäss Art. 18a Abs. 2 NHG , den Biotopschutz gemäss den Bundesinventaren umzusetzen (vgl. FAHRLÄNDER, a.a.O., N. 15 f. zu Art. 18a NHG ; JEANNERAT/MOOR, a.a.O., N. 66 zu Art. 17 RPG ; DAJCAR, a.a.O., S. 173; SIDI-ALI, a.a.O., S. 142 f.). Art. 3 Abs. 1 AuenV verlangt grundsätzlich eine parzellengenaue BGE 146 II 347 S. 354 oder in anderer Weise grundeigentümerverbindliche Festlegung bei der Detailabgrenzung (vgl. FAHRLÄNDER, a.a.O., N. 36 zu Art. 18a NHG ; WAGNER PFEIFER, a.a.O., Rz. 1097; DAJCAR, a.a.O., S. 152 ff.; SIDI-ALI, a.a.O., S. 143). Gemäss der Vollzugshilfe zur Auenverordnung ist in intensiv genutzten Gebieten die Parzellengenauigkeit anzustreben. In abgelegenen Gegenden oder in Gebieten mit schlechten Plangrundlagen ist es dagegen unverhältnismässig, Parzellengenauigkeit zu verlangen (a.a.O., Kap. 2.1 S. 10). Basis für die Detailabgrenzung in einem Nutzungsplan bildet der Kartenausschnitt im Massstab 1:25'000 gemäss Art. 2 AuenV. Diese Bundesperimeter sind oft durch sichtbare Anhaltspunkte wie Waldgrenzen, Bäche, Wege und Strassen festgelegt. In diesen Fällen ist der genaue Grenzverlauf der Objekte für die Kantone häufig vorgegeben. Wenn der Inventarperimeter nicht durch derart klar erkennbare Strukturen abgegrenzt ist, liegt der Interpretationsspielraum der Perimeterlinie bei einer Breite von 20 bis 30 Metern (vgl. Vollzugshilfe zur Auenverordnung, a.a.O., Kap. 2.1 S. 10). Bei der Detailabgrenzung steht den Kantonen bzw. Gemeinden ein den örtlichen Verhältnissen Rechnung tragender Beurteilungsspielraum zu. Ihr Spielraum ist aber gering (vgl. FAHRLÄNDER, a.a.O., N. 36 zu Art. 18a NHG ; DAJCAR, a.a.O., S. 153; SIDI-ALI, a.a.O., S. 143).</w:t>
      </w:r>
    </w:p>
    <w:p>
      <w:r>
        <w:rPr>
          <w:b/>
        </w:rPr>
        <w:t>E. 5.2</w:t>
      </w:r>
    </w:p>
    <w:p>
      <w:r>
        <w:t>Gemäss der Vollzugshilfe zur Auenverordnung (a.a.O.; vgl. oben E. 5.1) ist die Detailabgrenzung bei einer Abgrenzung im Bundesperimeter entlang einer Bahnlinie häufig bzw. in der Regel entsprechend vorzunehmen. Der konkret betroffene Bundesperimeter erstreckt sich in den Teilbereichen 2, 3 und 4 nördlich des Vorderrheins bis zur Bahnlinie (vgl. nicht publ. E. 4.3). Das Naturschutzgebiet im ZP/GEP 1:5'000 Ruinaulta reicht hingegen in diesen Teilbereichen nicht bis an das Bahntrassee heran und ist somit kleiner. Dies ist bundesrechtlich nur dann zulässig, wenn im Einzelfall sachliche Gründe für die abweichende Detailabgrenzung vorliegen. Die Beschwerdeführer fordern, entsprechend dem Bundesperimeter, eine Ausdehnung des Naturschutzgebiets bis zur Bahnanlage, weil der Vorderrhein periodisch bei Hochwasser bis zum Bahndamm oder den Gleisen ansteige und es sogar zu Streckenunterbrüchen komme. Die Beschwerdegegner erwidern vor Bundesgericht gestützt auf eine Auskunft der RhB nachvollziehbar, dass das betroffene Gelände nicht im Hochwassergebiet des Rheins liegt. Die Vorinstanz war folglich nicht verpflichtet, eine Ausdehnung des Auengebiets bis BGE 146 II 347 S. 355 zur Bahnanlage allein wegen auftretendem Hochwasser beim Vorderrhein zu bejahen. Hingegen sind eisenbahnrechtliche Aspekte bei der Detailabgrenzung zwischen dem Auengebiet und der Bahnanlage von Bedeutung.</w:t>
      </w:r>
    </w:p>
    <w:p>
      <w:r>
        <w:rPr>
          <w:b/>
        </w:rPr>
        <w:t>E. 5.3</w:t>
      </w:r>
    </w:p>
    <w:p>
      <w:r>
        <w:t>Die Eisenbahnanlage selbst untersteht weder dem kantonalen Recht noch der kantonalen Planungshoheit (vgl. Art. 18 Abs. 4 des Eisenbahngesetzes vom 20. Dezember 1957 [EBG; SR 742.101]). Gemäss Art. 18 Abs. 4 der Eisenbahnverordnung vom 23. November 1983 (EBV; SR 742.141.1) genehmigt das Bundesamt für Verkehr die von den Bahnunternehmen bestimmte Grenzlinie fester Anlagen für zusammenhängende Teile. Wie es sich damit im Hinblick auf das konkret betroffene Gebiet verhält, ist nicht erstellt. Im Hinblick auf den Geländestreifen, der seitlich an die Bahnanlage anschliesst, sieht Art. 19 Abs. 1 EBG vor, dass das Eisenbahnunternehmen die zur Sicherheit von Bau und Betrieb der Eisenbahn sowie zur Vermeidung der Gefahr für Personen und Sachen notwendigen Vorkehren trifft. Wird die Sicherheit der Eisenbahn u.a. durch Bäume Dritter beeinträchtigt, so ist auf Begehren des Eisenbahnunternehmens Abhilfe zu schaffen ( Art. 21 Abs. 1 EBG ). Nach Art. 24 EBV dürfen keine Bäume, Stangen oder Konstruktionen neben dem Bahntrassee stehen, die dem Wind und den Witterungseinflüssen nicht genügend Widerstand leisten und auf die Eisenbahnanlage stürzen könnten. (...)</w:t>
      </w:r>
    </w:p>
    <w:p>
      <w:r>
        <w:rPr>
          <w:b/>
        </w:rPr>
        <w:t>E. 6</w:t>
      </w:r>
    </w:p>
    <w:p>
      <w:r>
        <w:t>(...)</w:t>
      </w:r>
    </w:p>
    <w:p>
      <w:r>
        <w:rPr>
          <w:b/>
        </w:rPr>
        <w:t>E. 6.1</w:t>
      </w:r>
    </w:p>
    <w:p>
      <w:r>
        <w:t>Es ist davon auszugehen, dass die bis 20 m ab Gleisachse breite, extensive Unterhaltszone im Nahbereich der Eisenbahnanlage je nach Sachlage - allenfalls auch teilweise - einem schutzwürdigen Lebensraum zuzuteilen ist. Dieser Grundsatz muss namentlich für Auengebiete gelten, denn diese sind vielfach auf Uferbereiche beschränkt. Bei derart kleinräumigen Verhältnissen des schutzwürdigen Lebensraums ist es von besonderem Gewicht, dass sie als Schutzgebiet ausreichend gross dimensioniert sind. Auch der VSS-Norm 71240 (Unterhalt der Grünflächen an Bahnanlagen) liegt die Konzeption zugrunde, dass bei einer extensiven Unterhaltszone schutzwürdige Lebensräume vorkommen können. Dazu steht es im Widerspruch, wenn die Vorinstanz den Planungsbehörden zubilligt, einen Streifen von 10 m bis 25 m Breite neben der Bahnanlage ohne Weiteres vom Biotopschutz auszunehmen. BGE 146 II 347 S. 356 Zusätzlich ist zu berücksichtigen, dass die Beschwerdeführer die fehlende Parzellengenauigkeit des Naturschutzgebiets im ZP/GEP 1:5'000 Ruinaulta bemängeln. Die Vorinstanz spricht zwar davon, die Detailabgrenzung des Naturschutzgebiets im kommunalen Nutzungsplan sei parzellenscharf erfolgt. Aus den Verfahrensakten ist aber nicht ersichtlich, auf welche Parzellen bzw. Grundeigentümerpflichten sich die Ausscheidung des fraglichen Naturschutzgebiets bezieht. Die Rüge der Beschwerdeführer zur fehlenden Parzellengenauigkeit bedarf einer näheren Überprüfung. Das Gebiet zwischen der Isla Bella-Brücke und dem Westportal des Bahntunnels Ransun befindet sich weit entfernt vom Siedlungsgebiet. Eine vollumfängliche Parzellengenauigkeit des Naturschutzgebiets ist daher nicht zwingend, zumal wenn bei den anstossenden Flächen keine erheblichen Nutzungskonflikte zum Auenschutz zu erwarten sind. Ein solches Konfliktpotenzial liegt jedoch im Nahbereich einer Bahnanlage, wie in den Teilbereichen 2, 3 und 4 (vgl. nicht publ. E. 4.3), vor. Im Folgenden ist deshalb bei der Überprüfung der sachlichen Haltbarkeit der Detailabgrenzung die weitere Frage einzubeziehen, ob diese Abgrenzung parzellengenau erfolgen muss. (...)</w:t>
      </w:r>
    </w:p>
    <w:p>
      <w:r>
        <w:rPr>
          <w:b/>
        </w:rPr>
        <w:t>E. 7</w:t>
      </w:r>
    </w:p>
    <w:p>
      <w:r>
        <w:t>(...)</w:t>
      </w:r>
    </w:p>
    <w:p>
      <w:r>
        <w:rPr>
          <w:b/>
        </w:rPr>
        <w:t>E. 7.1</w:t>
      </w:r>
    </w:p>
    <w:p>
      <w:r>
        <w:t>Es handelt sich wie dargelegt um eine geschützte und auentypische Vogelart (vgl. oben E. 3.4). Nach Art. 4 Abs. 1 lit. a AuenV gehört die Erhaltung und Förderung der auentypischen Tierwelt sowie ihrer ökologischen Voraussetzungen zum Schutzziel von Auenobjekten (vgl. oben E. 3.1). Art. 5 Abs. 2 lit. c AuenV verpflichtet die Kantone, dafür zu sorgen, dass u.a. bestehende und neue Erholungsnutzungen in Auengebieten mit dem Schutzziel in Einklang stehen. Ausserdem haben die Kantone gemäss Art. 7 Abs. 4 JSG für einen ausreichenden Schutz der wildlebenden Säugetiere und Vögel vor Störung zu sorgen. Darüber hinaus enthalten Art. 6 lit. b und c i.V.m. Art. 9 der Berner Konvention relativ offene Vorgaben zum Schutz der Brut- und Raststätten der streng geschützten Tierarten gemäss Anhang II (vgl. dazu EPINEY/KERN, a.a.O., N. 40, 43, S. 145 ff.). Im vorliegenden Fall kann die genaue Tragweite dieser völkerrechtlichen Bestimmungen offenbleiben, denn die zuständigen Bundesbehörden haben zum Schutz der Flussuferläufer konkretisierende Massnahmen vorgesehen (vgl. bereits oben E. 3.4). So wurde die Vogelart für das Programm "Smaragd-Netzwerk" aufgelistet (vgl. Aktionsplan BGE 146 II 347 S. 357 Flussuferläufer Schweiz, a.a.O., Kap. 4.1 S. 21). Mit dem Objekt CH09 Ruin'Aulta wurde ein Smaragd-Gebiet bezeichnet, in dem Flussuferläufer im Auengebiet in der Nähe des umstrittenen Wanderwegs vorkommen. Dabei reicht das Smaragd-Gebiet im betroffenen Bereich nördlich des Vorderrheins flächenmässig über den Bundesperimeter dieses Auengebiets hinaus. Der Schutz der Lebensräume der Flussuferläufer in naturnahen Auen soll im Rahmen des Auenschutzes erfolgen (vgl. Aktionsplan Flussuferläufer Schweiz, a.a.O., Kap. 6.1.1 S. 24). Die Vogelart ist zudem in der Vollzugshilfe des BAFU "Liste der National Prioritären Arten und Lebensräume" (2019, Umwelt-Vollzug Nr. 1709) mit der höchsten Prioritätsstufe 1 aufgeführt (Digitale Liste der National Prioritären Arten, Stand 31. Dezember 2017, www.bafu.admin.ch/bafu/de/home/ themen/biodiversitaet/publikationen-studien/publikationen/liste-national-prioritaeren-arten.html [besucht am 9. März 2020]). Bereits nach der Liste von 2011 war die nationale Priorität anerkannt, wie das BAFU vor Bundesgericht darlegt.</w:t>
      </w:r>
    </w:p>
    <w:p>
      <w:r>
        <w:rPr>
          <w:b/>
        </w:rPr>
        <w:t>E. 7.2</w:t>
      </w:r>
    </w:p>
    <w:p>
      <w:r>
        <w:t>Die Vorinstanz geht bei der Strecke zwischen der Isla Bella-Brücke und dem EW Pintrun zu Recht von einem neuen Wanderweg aus. Eine neue Anlage im Auengebiet müsste als technischer Eingriff die Voraussetzungen von Art. 4 Abs. 2 AuenV erfüllen. Danach ist ein Abweichen vom Schutzziel der ungeschmälerten Erhaltung nur erlaubt, wenn ein überwiegendes Interesse von nationaler Bedeutung gegeben ist (vgl. oben E. 3.1). Die Art. 6 NHG nachgebildeten Eingriffsvoraussetzungen von Art. 4 Abs. 2 AuenV sind strenger als das Abwägungsprozedere gemäss Art. 1 und Art. 3 RPG bzw. Art. 3 RPV (vgl. Urteil 1C_118/2016 vom 21. März 2017 E. 4.2, in: URP 2018 S. 16). Art. 4 Abs. 2 AuenV lässt eine Interessenabwägung für den Eingriff - von hier nicht betroffenen Ausnahmen abgesehen - nicht zu, wenn dem für den Eingriff sprechenden Interesse keine nationale Bedeutung beizumessen ist (vgl. Urteil 1C_526/2015 und 1C_528/2015 vom 12. Oktober 2016 E. 5.5, nicht publ. in: BGE 142 II 517 ; FAHRLÄNDER, a.a.O., N. 51 zu Art. 18a NHG ). Die Planung und Anlage von Fuss- und Wanderwegen ist eine kantonale Aufgabe (vgl. Art. 4 des Bundesgesetzes vom 4. Oktober 1985 über die Fuss- und Wanderwege [FWG; SR 704] ; BGE 129 I 337 E. 1.2 S. 340; Urteil 1C_64/2012 vom 22. August 2012 E. 3 und 4). An dieser Beurteilung ändert es nichts, wenn der Wanderweg, wie vorliegend, Bestandteil einer "nationalen Route" bildet. Dieser Bezeichnung kommt rechtlich keine Bedeutung zu. Weiter BGE 146 II 347 S. 358 ist es nach Angaben der Beschwerdegegnerin vorgekommen, dass Einzelpersonen "wild" durch das Gebiet gegangen und dabei sogar den Bahntunnel durchquert haben. Dieser Argumentation zufolge würde der neue Wanderweg - zusammen mit dem Fussgängertunnel parallel zum Bahntunnel - die Bahnsicherheit verbessern. Derartiges hat die Vorinstanz nicht festgestellt. Im Übrigen erfordert die Gewährleistung der Bahnsicherheit den Wanderweg nicht. Insgesamt fehlt ein nationales Interesse, um die Anlage eines neuen Wanderwegs im Auengebiet zu rechtfertigen.</w:t>
      </w:r>
    </w:p>
    <w:p>
      <w:r>
        <w:rPr>
          <w:b/>
        </w:rPr>
        <w:t>E. 7.3</w:t>
      </w:r>
    </w:p>
    <w:p>
      <w:r>
        <w:t>Auch wenn der neue Wanderweg ausserhalb des Auengebiets bzw. des Uferbereichs, in dem sich der Lebensraum der Flussuferläufer befindet (dazu nicht publ. E. 7.4), angelegt werden könnte, würde dies an der Anwendbarkeit von Art. 4 und 5 AuenV nichts ändern. Deren Schutzziele erfassen nicht nur Freizeitaktivitäten im Lebensraum der Flussuferläufer, sondern schliessen auch den Schutz der Vogelart vor solchen Störungen aus der näheren Umgebung ein. Ein Eingriff in ein Biotop kann auch dann zu bejahen sein, wenn ein geplantes Werk ausserhalb des Perimeters liegt, aber erhebliche Auswirkungen auf das Schutzgebiet hat (vgl. BGE 115 Ib 311 E. 5e S. 322). Falls die Nutzung eines neuen Wanderwegs in der Nähe des Schutzgebiets zu einer Schmälerung der Bestandeserhaltung bei den Flussuferläufern führen sollte, so wäre dies ebenfalls als erheblicher Eingriff im Sinne von Art. 18 Abs. 1 ter i.V.m. Art. 18a NHG zu qualifizieren. Ein solcher Eingriff unterläge in gleicher Weise den Voraussetzungen von Art. 4 Abs. 2 AuenV. Auch in dieser Hinsicht ist ein nationales Interesse am fraglichen Weg zur Rechtfertigung des Eingriffs zu verneinen (vgl. dazu oben E. 7.2). Mithin darf dieser Weg, auch wenn er in der näheren Umgebung des Lebensraums der Flussuferläufer angelegt wird, die Bestandeserhaltung der Vogelart nicht schmälern.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